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u w:val="single"/>
        </w:rPr>
      </w:pPr>
      <w:r w:rsidDel="00000000" w:rsidR="00000000" w:rsidRPr="00000000">
        <w:rPr>
          <w:rFonts w:ascii="Arial Unicode MS" w:cs="Arial Unicode MS" w:eastAsia="Arial Unicode MS" w:hAnsi="Arial Unicode MS"/>
          <w:b w:val="1"/>
          <w:color w:val="222222"/>
          <w:highlight w:val="white"/>
          <w:u w:val="single"/>
          <w:rtl w:val="0"/>
        </w:rPr>
        <w:t xml:space="preserve">181天 10/22/2019</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22</w:t>
      </w:r>
    </w:p>
    <w:p w:rsidR="00000000" w:rsidDel="00000000" w:rsidP="00000000" w:rsidRDefault="00000000" w:rsidRPr="00000000" w14:paraId="00000004">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若无自证分，</w:t>
      </w:r>
    </w:p>
    <w:p w:rsidR="00000000" w:rsidDel="00000000" w:rsidP="00000000" w:rsidRDefault="00000000" w:rsidRPr="00000000" w14:paraId="00000005">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心识怎忆念？</w:t>
      </w:r>
    </w:p>
    <w:p w:rsidR="00000000" w:rsidDel="00000000" w:rsidP="00000000" w:rsidRDefault="00000000" w:rsidRPr="00000000" w14:paraId="00000006">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心境相连故，</w:t>
      </w:r>
    </w:p>
    <w:p w:rsidR="00000000" w:rsidDel="00000000" w:rsidP="00000000" w:rsidRDefault="00000000" w:rsidRPr="00000000" w14:paraId="00000007">
      <w:pP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能知如鼠毒。</w:t>
      </w:r>
    </w:p>
    <w:p w:rsidR="00000000" w:rsidDel="00000000" w:rsidP="00000000" w:rsidRDefault="00000000" w:rsidRPr="00000000" w14:paraId="00000008">
      <w:pPr>
        <w:shd w:fill="ffffff" w:val="clear"/>
        <w:rPr>
          <w:color w:val="222222"/>
          <w:highlight w:val="white"/>
        </w:rPr>
      </w:pPr>
      <w:r w:rsidDel="00000000" w:rsidR="00000000" w:rsidRPr="00000000">
        <w:rPr>
          <w:rtl w:val="0"/>
        </w:rPr>
      </w:r>
    </w:p>
    <w:p w:rsidR="00000000" w:rsidDel="00000000" w:rsidP="00000000" w:rsidRDefault="00000000" w:rsidRPr="00000000" w14:paraId="00000009">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现在是中观宗破唯识宗的自证分，之前讲到一些自证的比喻，从比喻上面做一些反驳和遮止。今天继续说的是回忆依靠唯识的自证分的观念，能够觉知。中观宗破的观念是说没有自证分也能回忆，也能觉知；并通过比喻做了进一步的延伸。唯识宗的观点是我们回忆过去的事情时，心识能够直接忆持，有些人哪怕是小时候几岁的行为都能够记得，不一定全部记得但个别的部分能够记得，部分的事件能够记得。就好像说现在已经过去了三十四十年乃至于到了七八十岁，他能够回忆起过去小的时候。甚至有些具体的问答，就好像你看回忆录，写的时间、地点、人物、内容，包括话语、前后的顺序，一丝不差的能够说得出来的人也有；当时有几个人、这个人说了什么、那个人说了什么、中间有谁做了什么动作、以什么样的表情，都能够说的出来。如果心不依靠一个自明自知的力量的话，那不可能能够记忆什么，这是唯识宗提出来的观点。中观宗的回复是，其实不仅仅是依靠心。因为你回忆的场景都有对境，心投射到一连串的外境上面，如果没有外境的话就没有记忆。没有依赖心投射外境的话，哪有心自己成立的回忆？是境的作用为主来忆持过去的记忆，然后能够明显过去的记忆。用了一个例子，比如一只老鼠冬天的时候咬了你，但是你在春天的时候毒性发作。毒性发作的时候你还能够回忆起是当时中毒了但是不知道，后来毒发作的时候就能忆起当时老鼠咬你的场景。所以能够记得这个事情是靠着场景对境。</w:t>
      </w:r>
    </w:p>
    <w:p w:rsidR="00000000" w:rsidDel="00000000" w:rsidP="00000000" w:rsidRDefault="00000000" w:rsidRPr="00000000" w14:paraId="0000000A">
      <w:pPr>
        <w:shd w:fill="ffffff" w:val="clear"/>
        <w:rPr>
          <w:color w:val="222222"/>
          <w:highlight w:val="white"/>
        </w:rPr>
      </w:pPr>
      <w:r w:rsidDel="00000000" w:rsidR="00000000" w:rsidRPr="00000000">
        <w:rPr>
          <w:rtl w:val="0"/>
        </w:rPr>
      </w:r>
    </w:p>
    <w:p w:rsidR="00000000" w:rsidDel="00000000" w:rsidP="00000000" w:rsidRDefault="00000000" w:rsidRPr="00000000" w14:paraId="0000000B">
      <w:pPr>
        <w:shd w:fill="ffffff" w:val="clear"/>
        <w:rPr>
          <w:color w:val="222222"/>
          <w:highlight w:val="white"/>
        </w:rPr>
      </w:pPr>
      <w:r w:rsidDel="00000000" w:rsidR="00000000" w:rsidRPr="00000000">
        <w:rPr>
          <w:color w:val="222222"/>
          <w:highlight w:val="white"/>
          <w:rtl w:val="0"/>
        </w:rPr>
        <w:t xml:space="preserve">23</w:t>
      </w:r>
    </w:p>
    <w:p w:rsidR="00000000" w:rsidDel="00000000" w:rsidP="00000000" w:rsidRDefault="00000000" w:rsidRPr="00000000" w14:paraId="0000000C">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心通远见他，</w:t>
      </w:r>
    </w:p>
    <w:p w:rsidR="00000000" w:rsidDel="00000000" w:rsidP="00000000" w:rsidRDefault="00000000" w:rsidRPr="00000000" w14:paraId="0000000D">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近故心自明。</w:t>
      </w:r>
    </w:p>
    <w:p w:rsidR="00000000" w:rsidDel="00000000" w:rsidP="00000000" w:rsidRDefault="00000000" w:rsidRPr="00000000" w14:paraId="0000000E">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然涂炼就药，</w:t>
      </w:r>
    </w:p>
    <w:p w:rsidR="00000000" w:rsidDel="00000000" w:rsidP="00000000" w:rsidRDefault="00000000" w:rsidRPr="00000000" w14:paraId="0000000F">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见瓶不见药。</w:t>
      </w:r>
    </w:p>
    <w:p w:rsidR="00000000" w:rsidDel="00000000" w:rsidP="00000000" w:rsidRDefault="00000000" w:rsidRPr="00000000" w14:paraId="00000010">
      <w:pPr>
        <w:shd w:fill="ffffff" w:val="clear"/>
        <w:rPr>
          <w:color w:val="222222"/>
          <w:highlight w:val="white"/>
        </w:rPr>
      </w:pPr>
      <w:r w:rsidDel="00000000" w:rsidR="00000000" w:rsidRPr="00000000">
        <w:rPr>
          <w:rtl w:val="0"/>
        </w:rPr>
      </w:r>
    </w:p>
    <w:p w:rsidR="00000000" w:rsidDel="00000000" w:rsidP="00000000" w:rsidRDefault="00000000" w:rsidRPr="00000000" w14:paraId="00000011">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然后唯识宗又提出了另外一个例子：有他心通的人经由禅定的训练，主要是寂止禅的功德，能够以等持的心见到他心通。他心通也有眼通，眼睛的神通圆满时，天眼通。能够知道别人的心思啊，能够知道很远的地方发生的事情啊，能够描述一些具体的场景啊这种的。很远的人不在一起，都能即刻知道他的意思，不存在一个对境在你旁边，而是心的力量。那这种很远的地方发生的事情，乃至于心里面的运作能够知道的话，那离自己最近的心自明自知应该是很自然的事情。这里面遮破的方式，不是特别有力量吧，如果你不承认没有见过这些药的话，那这种的反驳是不是有力量就因人而异。去涂一种能够见到好几由旬甚至几百由旬的事物，通过涂一种眼药就能见到。因为我们没有见过这种眼药，就不知道这个眼药是不是存在。如果这个是真的，涂这个练就的药，能够见到很远的地方，但是看不到自己的眼睛。就好像你不通过镜子或者反射，你看不到自己的眼睛和眉毛一样。心在近的地方有自知自明的特点通过这个比喻来做否认。心通过禅定获得他心通，但是禅定也是心的衍生，禅定不是外物，是心本身的一个功德和品质。</w:t>
      </w:r>
    </w:p>
    <w:p w:rsidR="00000000" w:rsidDel="00000000" w:rsidP="00000000" w:rsidRDefault="00000000" w:rsidRPr="00000000" w14:paraId="00000012">
      <w:pPr>
        <w:shd w:fill="ffffff" w:val="clear"/>
        <w:rPr>
          <w:color w:val="222222"/>
          <w:highlight w:val="white"/>
        </w:rPr>
      </w:pPr>
      <w:r w:rsidDel="00000000" w:rsidR="00000000" w:rsidRPr="00000000">
        <w:rPr>
          <w:rtl w:val="0"/>
        </w:rPr>
      </w:r>
    </w:p>
    <w:p w:rsidR="00000000" w:rsidDel="00000000" w:rsidP="00000000" w:rsidRDefault="00000000" w:rsidRPr="00000000" w14:paraId="00000013">
      <w:pPr>
        <w:shd w:fill="ffffff" w:val="clear"/>
        <w:rPr>
          <w:color w:val="222222"/>
          <w:highlight w:val="white"/>
        </w:rPr>
      </w:pPr>
      <w:r w:rsidDel="00000000" w:rsidR="00000000" w:rsidRPr="00000000">
        <w:rPr>
          <w:color w:val="222222"/>
          <w:highlight w:val="white"/>
          <w:rtl w:val="0"/>
        </w:rPr>
        <w:t xml:space="preserve">24</w:t>
      </w:r>
    </w:p>
    <w:p w:rsidR="00000000" w:rsidDel="00000000" w:rsidP="00000000" w:rsidRDefault="00000000" w:rsidRPr="00000000" w14:paraId="00000014">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见闻与觉知，</w:t>
      </w:r>
    </w:p>
    <w:p w:rsidR="00000000" w:rsidDel="00000000" w:rsidP="00000000" w:rsidRDefault="00000000" w:rsidRPr="00000000" w14:paraId="00000015">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于此不遮除。</w:t>
      </w:r>
    </w:p>
    <w:p w:rsidR="00000000" w:rsidDel="00000000" w:rsidP="00000000" w:rsidRDefault="00000000" w:rsidRPr="00000000" w14:paraId="00000016">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此处所遮者，</w:t>
      </w:r>
    </w:p>
    <w:p w:rsidR="00000000" w:rsidDel="00000000" w:rsidP="00000000" w:rsidRDefault="00000000" w:rsidRPr="00000000" w14:paraId="00000017">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苦因执谛实。</w:t>
      </w:r>
    </w:p>
    <w:p w:rsidR="00000000" w:rsidDel="00000000" w:rsidP="00000000" w:rsidRDefault="00000000" w:rsidRPr="00000000" w14:paraId="00000018">
      <w:pPr>
        <w:shd w:fill="ffffff" w:val="clear"/>
        <w:rPr>
          <w:color w:val="222222"/>
          <w:highlight w:val="white"/>
        </w:rPr>
      </w:pPr>
      <w:r w:rsidDel="00000000" w:rsidR="00000000" w:rsidRPr="00000000">
        <w:rPr>
          <w:rtl w:val="0"/>
        </w:rPr>
      </w:r>
    </w:p>
    <w:p w:rsidR="00000000" w:rsidDel="00000000" w:rsidP="00000000" w:rsidRDefault="00000000" w:rsidRPr="00000000" w14:paraId="00000019">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下面是说，在相对的世界当中，中观宗不需要完全否认名言上面世俗当中存在的现象，包括说五蕴十二处十八戒，识和境的不同层面，这些我们不需要刻意否认相对的六识范围之内的显现，或者说不是那么活跃的七识八识的层识的感受和信息储存式的业行的显现。空只是针对显而已，在名言当中的显不承认的话，怎么去说空呢？名言当中相对存在相对的真理，这个不需要去排斥否认，不然就类似于另一种顽空的做法。唯识宗的观点基本来说就是心识有自证分，自明自知、自心能够了解自己的意思。心识如果不能自明自知的话，其他的法就更不可能明了。因为我们所谓的心识觉知到的“见到”、“未见到”、“听到”、“未听到”的这些，都依赖唯明唯知的心。如果你把这个否认的话，就无从谈起其他的相对的觉受和运作。究竟来讲是万法无自性。这里的意思是说显现不是问题，贪执实有才是问题。并不需要遮止显现本身，而是怎么去认知显现时引起的贪嗔痴？本身是因为执着实有产生的过患，不论是心或者是境的实执，导致了贪嗔痴与轮回苦恼的现前。</w:t>
      </w:r>
    </w:p>
    <w:p w:rsidR="00000000" w:rsidDel="00000000" w:rsidP="00000000" w:rsidRDefault="00000000" w:rsidRPr="00000000" w14:paraId="0000001A">
      <w:pPr>
        <w:shd w:fill="ffffff" w:val="clear"/>
        <w:rPr>
          <w:color w:val="222222"/>
          <w:highlight w:val="white"/>
        </w:rPr>
      </w:pPr>
      <w:r w:rsidDel="00000000" w:rsidR="00000000" w:rsidRPr="00000000">
        <w:rPr>
          <w:rtl w:val="0"/>
        </w:rPr>
      </w:r>
    </w:p>
    <w:p w:rsidR="00000000" w:rsidDel="00000000" w:rsidP="00000000" w:rsidRDefault="00000000" w:rsidRPr="00000000" w14:paraId="0000001B">
      <w:pPr>
        <w:shd w:fill="ffffff" w:val="clear"/>
        <w:rPr>
          <w:color w:val="222222"/>
          <w:highlight w:val="white"/>
        </w:rPr>
      </w:pPr>
      <w:r w:rsidDel="00000000" w:rsidR="00000000" w:rsidRPr="00000000">
        <w:rPr>
          <w:color w:val="222222"/>
          <w:highlight w:val="white"/>
          <w:rtl w:val="0"/>
        </w:rPr>
        <w:t xml:space="preserve">25</w:t>
      </w:r>
    </w:p>
    <w:p w:rsidR="00000000" w:rsidDel="00000000" w:rsidP="00000000" w:rsidRDefault="00000000" w:rsidRPr="00000000" w14:paraId="0000001C">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幻境非心外，</w:t>
      </w:r>
    </w:p>
    <w:p w:rsidR="00000000" w:rsidDel="00000000" w:rsidP="00000000" w:rsidRDefault="00000000" w:rsidRPr="00000000" w14:paraId="0000001D">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亦非全无异。</w:t>
      </w:r>
    </w:p>
    <w:p w:rsidR="00000000" w:rsidDel="00000000" w:rsidP="00000000" w:rsidRDefault="00000000" w:rsidRPr="00000000" w14:paraId="0000001E">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若实怎非异？</w:t>
      </w:r>
    </w:p>
    <w:p w:rsidR="00000000" w:rsidDel="00000000" w:rsidP="00000000" w:rsidRDefault="00000000" w:rsidRPr="00000000" w14:paraId="0000001F">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非异则非实。</w:t>
      </w:r>
    </w:p>
    <w:p w:rsidR="00000000" w:rsidDel="00000000" w:rsidP="00000000" w:rsidRDefault="00000000" w:rsidRPr="00000000" w14:paraId="00000020">
      <w:pPr>
        <w:shd w:fill="ffffff" w:val="clear"/>
        <w:rPr>
          <w:color w:val="222222"/>
          <w:highlight w:val="white"/>
        </w:rPr>
      </w:pPr>
      <w:r w:rsidDel="00000000" w:rsidR="00000000" w:rsidRPr="00000000">
        <w:rPr>
          <w:rtl w:val="0"/>
        </w:rPr>
      </w:r>
    </w:p>
    <w:p w:rsidR="00000000" w:rsidDel="00000000" w:rsidP="00000000" w:rsidRDefault="00000000" w:rsidRPr="00000000" w14:paraId="00000021">
      <w:pPr>
        <w:shd w:fill="ffffff" w:val="clear"/>
        <w:rPr>
          <w:color w:val="222222"/>
          <w:highlight w:val="white"/>
        </w:rPr>
      </w:pPr>
      <w:r w:rsidDel="00000000" w:rsidR="00000000" w:rsidRPr="00000000">
        <w:rPr>
          <w:rFonts w:ascii="Arial Unicode MS" w:cs="Arial Unicode MS" w:eastAsia="Arial Unicode MS" w:hAnsi="Arial Unicode MS"/>
          <w:color w:val="222222"/>
          <w:highlight w:val="white"/>
          <w:rtl w:val="0"/>
        </w:rPr>
        <w:t xml:space="preserve">唯识宗承认如幻的外境，心外无物，外境的显现都是依赖心，外在的虚幻不外乎只是心；虽然外境不是离开心的一个另外的事物，但是也不完全等同于心。中观宗说，唯识宗认为心识是实有的，心和境有一样的部分，那么心与境怎么能不是不同的？既然心与境不是不同的，在心境相同的层次来说，如果外在是虚幻的，心也应该是虚幻的，怎么可能是实有的？</w:t>
      </w:r>
    </w:p>
    <w:p w:rsidR="00000000" w:rsidDel="00000000" w:rsidP="00000000" w:rsidRDefault="00000000" w:rsidRPr="00000000" w14:paraId="00000022">
      <w:pPr>
        <w:rPr>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